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313</w:t>
      </w:r>
    </w:p>
    <w:p>
      <w:r>
        <w:t>Bundesgericht (BGE), 1994-06-17, FR</w:t>
      </w:r>
    </w:p>
    <w:p>
      <w:r>
        <w:rPr>
          <w:b/>
        </w:rPr>
        <w:t xml:space="preserve">Quelle: </w:t>
      </w:r>
      <w:r>
        <w:t>https://mcp.opencaselaw.ch/entscheid/bge_120 IV 313</w:t>
      </w:r>
    </w:p>
    <w:p>
      <w:r>
        <w:t>FR: ATF 120 IV 313</w:t>
      </w:r>
    </w:p>
    <w:p>
      <w:r>
        <w:t>IT: DTF 120 IV 313</w:t>
      </w:r>
    </w:p>
    <w:p>
      <w:pPr>
        <w:pStyle w:val="Heading2"/>
      </w:pPr>
      <w:r>
        <w:t>Regeste</w:t>
      </w:r>
    </w:p>
    <w:p>
      <w:r>
        <w:t>Regeste Art. 270 Abs. 1 BStP: Beschwerdelegitimation bei Strafbefreiung. Ein Angeklagter ist zur Beschwerde legitimiert, wenn er zwar von Strafe befreit, aber schuldig gesprochen worden ist (E. 1). Art. 20 StGB, Freispruch bei Strafbefreiung. Wird in Anwendung von Art. 20 StGB von Bestrafung Umgang genommen, weil den Angeklagten kein Verschulden trifft, muss er freigesprochen werden (E. 2).</w:t>
      </w:r>
    </w:p>
    <w:p>
      <w:pPr>
        <w:pStyle w:val="Heading2"/>
      </w:pPr>
      <w:r>
        <w:t>Erwägungen</w:t>
      </w:r>
    </w:p>
    <w:p>
      <w:r>
        <w:rPr>
          <w:b/>
        </w:rPr>
        <w:t>E. 1</w:t>
      </w:r>
    </w:p>
    <w:p>
      <w:r>
        <w:t>Bien qu'exempté de toute peine, le recourant est en droit de se pourvoir en nullité, un accusé étant légitimé à recourir dans une telle hypothèse, lorsque, comme en l'espèce, il conteste le principe de sa culpabilité ( ATF 119 IV 44 consid. 1a).</w:t>
      </w:r>
    </w:p>
    <w:p>
      <w:r>
        <w:rPr>
          <w:b/>
        </w:rPr>
        <w:t>E. 2</w:t>
      </w:r>
    </w:p>
    <w:p>
      <w:r>
        <w:t>A l'appui de son pourvoi, le recourant fait notamment valoir que le recours à un avocat pour se défendre contre la menace de plainte formulée par sa patiente et la divulgation à son conseil de l'ensemble des circonstances intéressant l'affaire ne procédaient pas d'un comportement pénalement répréhensible. L'autorité cantonale a considéré, comme l'avait d'ailleurs envisagé le premier juge, que le recourant s'est trouvé au moment de la divulgation, sous l'empire d'une erreur de droit qu'elle a qualifié d'excusable. BGE 120 IV 313 S. 316 L'examen de son argumentation ne fait apparaître sur ce point ni méconnaissance, ni violation du droit fédéral et l'intimée, dans ses écritures, n'a nullement démontré que l'autorité cantonale aurait commis la moindre faute dans ses considérants. Le Tribunal fédéral peut en conséquence se référer purement et simplement à ceux-ci, tout en relevant que l'on ne saurait déduire le caractère excusable d'une erreur de droit du seul fait que dans le cours de la procédure dans son ensemble, le Tribunal fédéral a déjugé l'autorité cantonale sur le point considéré. Pour le reste toutefois, l'argumentation de l'autorité cantonale emporte l'adhésion. Cela dit, dès lors que l'on admet que le recourant s'est trouvé dans une erreur de droit excusable au point que l'autorité cantonale a estimé devoir l'exempter de toute peine, ainsi que l' art. 20 CP l'y autorisait expressément et dès lors que l'on ne saurait sur ce point, au vu des circonstances, lui reprocher d'avoir abusé de son pouvoir d'appréciation, il se pose la question de savoir si une déclaration de culpabilité peut encore être rendue contre lui. Autrement dit, l'autorité cantonale pouvait-elle sans violer le droit fédéral annuler la décision du premier juge libérant purement et simplement le recourant des fins de l'action pénale. Si l'on s'en tient au texte de la loi qui se réfère expressément à la peine, atténuée librement ou dont le prévenu peut être même totalement exempté, il semble à première vue que l'admission de l'erreur de droit ne peut pas conduire à l'abandon de toute charge pénale. Le contenu des travaux préparatoires tel qu'il est résumé par LOGOZ (Commentaire du Code pénal suisse), partie générale, deuxième éd., p. 106 b) ne conduit pas non plus à une autre conclusion, qui est également celle de la jurisprudence parue jusqu'ici (cf. ATF 92 IV 73 , 97 IV 66, ATF 104 IV 217 et ATF 116 IV 67 , notamment). Toutefois, dans la mesure où le juge estime juste de faire abstraction de toute peine, c'est qu'il considère que l'auteur n'a pas commis de faute, si minime soit-elle. Il est dès lors insupportable, dans un système entièrement dominé par le principe selon lequel la répression est fonction de la faute, que l'accusé soit reconnu coupable d'une infraction sans avoir commis la moindre faute. Il y a là une contradiction qui a été critiquée par la majorité de la doctrine (SCHULTZ, Einführung in den allgemeinen Teil des Strafrechts, 4ème éd., p. 232, f.; RJB 1982 p. 30; REHBERG, Strafrecht I 5ème éd., § 25 p. 173; NOLL/TRECHSEL, Schweizerisches Strafrecht, partie générale I 3ème éd., p. 134 ss; STRATENWERTH, Schweizerisches Strafrecht, partie générale I p. 260 b; SCHWANDER, Strafgesetzbuch 2ème éd., p. 100, no 205, lequel ne préconise BGE 120 IV 313 S. 317 toutefois l'assimilation des conséquences de l'erreur de droit à celles de l'erreur de fait que de lege ferenda; etc.) et qu'il convient de résoudre dans toute la mesure du possible en posant le principe que dans une telle situation, lorsque le juge décide de prononcer l'exemption de toute peine, il doit prononcer une libération pure et simple des fins de la poursuite pénale. Le pourvoi doit en conséquence être admis dans la mesure où l'autorité cantonale a annulé le premier jugement qui libérait l'intimé de la prévention de violation du secret médical.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